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CF13" w14:textId="1A1D3958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>
        <w:rPr>
          <w:rFonts w:ascii="Bierstadt" w:hAnsi="Bierstad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3E7BF4" wp14:editId="6E2D92BF">
            <wp:simplePos x="0" y="0"/>
            <wp:positionH relativeFrom="column">
              <wp:posOffset>3624580</wp:posOffset>
            </wp:positionH>
            <wp:positionV relativeFrom="paragraph">
              <wp:posOffset>13335</wp:posOffset>
            </wp:positionV>
            <wp:extent cx="2095200" cy="594000"/>
            <wp:effectExtent l="0" t="0" r="635" b="0"/>
            <wp:wrapNone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00" cy="5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4197" w14:textId="1403EAAE" w:rsidR="00613876" w:rsidRDefault="00613876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3B53F8D7" w14:textId="77777777" w:rsidR="00541AC1" w:rsidRDefault="00541AC1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</w:p>
    <w:p w14:paraId="713E920F" w14:textId="693BEB13" w:rsidR="00541AC1" w:rsidRDefault="00ED6239" w:rsidP="00C77787">
      <w:pPr>
        <w:spacing w:line="276" w:lineRule="auto"/>
        <w:rPr>
          <w:rFonts w:ascii="Bierstadt" w:hAnsi="Bierstadt"/>
          <w:b/>
          <w:bCs/>
          <w:sz w:val="28"/>
          <w:szCs w:val="28"/>
        </w:rPr>
      </w:pPr>
      <w:r w:rsidRPr="006B54C6">
        <w:rPr>
          <w:rFonts w:ascii="Bierstadt" w:hAnsi="Bierstadt"/>
          <w:b/>
          <w:bCs/>
          <w:sz w:val="28"/>
          <w:szCs w:val="28"/>
        </w:rPr>
        <w:t>Evenwichtigheid van de indexatie 202</w:t>
      </w:r>
      <w:r w:rsidR="00AA3383">
        <w:rPr>
          <w:rFonts w:ascii="Bierstadt" w:hAnsi="Bierstadt"/>
          <w:b/>
          <w:bCs/>
          <w:sz w:val="28"/>
          <w:szCs w:val="28"/>
        </w:rPr>
        <w:t>4</w:t>
      </w:r>
      <w:r w:rsidR="006B54C6">
        <w:rPr>
          <w:rFonts w:ascii="Bierstadt" w:hAnsi="Bierstadt"/>
          <w:b/>
          <w:bCs/>
          <w:sz w:val="28"/>
          <w:szCs w:val="28"/>
        </w:rPr>
        <w:t xml:space="preserve"> bij </w:t>
      </w:r>
      <w:r w:rsidR="008112C2">
        <w:rPr>
          <w:rFonts w:ascii="Bierstadt" w:hAnsi="Bierstadt"/>
          <w:b/>
          <w:bCs/>
          <w:sz w:val="28"/>
          <w:szCs w:val="28"/>
        </w:rPr>
        <w:t xml:space="preserve">Pensioenkring </w:t>
      </w:r>
      <w:r w:rsidR="00261EDD">
        <w:rPr>
          <w:rFonts w:ascii="Bierstadt" w:hAnsi="Bierstadt"/>
          <w:b/>
          <w:bCs/>
          <w:sz w:val="28"/>
          <w:szCs w:val="28"/>
        </w:rPr>
        <w:t>Cargill</w:t>
      </w:r>
    </w:p>
    <w:p w14:paraId="10EA8E0B" w14:textId="71EB0296" w:rsidR="00774C8E" w:rsidRDefault="00541AC1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hAnsi="Bierstadt"/>
          <w:sz w:val="20"/>
          <w:szCs w:val="20"/>
        </w:rPr>
        <w:t>Per 1 januari 202</w:t>
      </w:r>
      <w:r w:rsidR="00A36BB6">
        <w:rPr>
          <w:rFonts w:ascii="Bierstadt" w:hAnsi="Bierstadt"/>
          <w:sz w:val="20"/>
          <w:szCs w:val="20"/>
        </w:rPr>
        <w:t>4</w:t>
      </w:r>
      <w:r>
        <w:rPr>
          <w:rFonts w:ascii="Bierstadt" w:hAnsi="Bierstadt"/>
          <w:sz w:val="20"/>
          <w:szCs w:val="20"/>
        </w:rPr>
        <w:t xml:space="preserve"> worden </w:t>
      </w:r>
      <w:r w:rsidR="005C11D3">
        <w:rPr>
          <w:rFonts w:ascii="Bierstadt" w:hAnsi="Bierstadt"/>
          <w:sz w:val="20"/>
          <w:szCs w:val="20"/>
        </w:rPr>
        <w:t xml:space="preserve">bij </w:t>
      </w:r>
      <w:r w:rsidR="008112C2">
        <w:rPr>
          <w:rFonts w:ascii="Bierstadt" w:hAnsi="Bierstadt"/>
          <w:sz w:val="20"/>
          <w:szCs w:val="20"/>
        </w:rPr>
        <w:t xml:space="preserve">Pensioenkring </w:t>
      </w:r>
      <w:r w:rsidR="00261EDD">
        <w:rPr>
          <w:rFonts w:ascii="Bierstadt" w:hAnsi="Bierstadt"/>
          <w:sz w:val="20"/>
          <w:szCs w:val="20"/>
        </w:rPr>
        <w:t>Cargill</w:t>
      </w:r>
      <w:r>
        <w:rPr>
          <w:rFonts w:ascii="Bierstadt" w:hAnsi="Bierstadt"/>
          <w:sz w:val="20"/>
          <w:szCs w:val="20"/>
        </w:rPr>
        <w:t xml:space="preserve"> </w:t>
      </w:r>
      <w:r w:rsidR="00353E2B">
        <w:rPr>
          <w:rFonts w:ascii="Bierstadt" w:hAnsi="Bierstadt"/>
          <w:sz w:val="20"/>
          <w:szCs w:val="20"/>
        </w:rPr>
        <w:t>de pensioenen van alle deelnemers, gewezen deelnemer</w:t>
      </w:r>
      <w:r w:rsidR="00DC78A7">
        <w:rPr>
          <w:rFonts w:ascii="Bierstadt" w:hAnsi="Bierstadt"/>
          <w:sz w:val="20"/>
          <w:szCs w:val="20"/>
        </w:rPr>
        <w:t>s</w:t>
      </w:r>
      <w:r w:rsidR="00353E2B">
        <w:rPr>
          <w:rFonts w:ascii="Bierstadt" w:hAnsi="Bierstadt"/>
          <w:sz w:val="20"/>
          <w:szCs w:val="20"/>
        </w:rPr>
        <w:t xml:space="preserve"> en pensio</w:t>
      </w:r>
      <w:r w:rsidR="00DC78A7">
        <w:rPr>
          <w:rFonts w:ascii="Bierstadt" w:hAnsi="Bierstadt"/>
          <w:sz w:val="20"/>
          <w:szCs w:val="20"/>
        </w:rPr>
        <w:t>e</w:t>
      </w:r>
      <w:r w:rsidR="00353E2B">
        <w:rPr>
          <w:rFonts w:ascii="Bierstadt" w:hAnsi="Bierstadt"/>
          <w:sz w:val="20"/>
          <w:szCs w:val="20"/>
        </w:rPr>
        <w:t xml:space="preserve">ngerechtigden verhoogd met </w:t>
      </w:r>
      <w:r w:rsidR="00BE7518">
        <w:rPr>
          <w:rFonts w:ascii="Bierstadt" w:hAnsi="Bierstadt"/>
          <w:sz w:val="20"/>
          <w:szCs w:val="20"/>
        </w:rPr>
        <w:t>3%</w:t>
      </w:r>
      <w:r w:rsidR="00353E2B">
        <w:rPr>
          <w:rFonts w:ascii="Bierstadt" w:hAnsi="Bierstadt"/>
          <w:sz w:val="20"/>
          <w:szCs w:val="20"/>
        </w:rPr>
        <w:t>.</w:t>
      </w:r>
      <w:r w:rsidR="005C11D3">
        <w:rPr>
          <w:rFonts w:ascii="Bierstadt" w:hAnsi="Bierstadt"/>
          <w:sz w:val="20"/>
          <w:szCs w:val="20"/>
        </w:rPr>
        <w:t xml:space="preserve"> </w:t>
      </w:r>
      <w:r w:rsidR="0093462D">
        <w:rPr>
          <w:rFonts w:ascii="Bierstadt" w:hAnsi="Bierstadt"/>
          <w:sz w:val="20"/>
          <w:szCs w:val="20"/>
        </w:rPr>
        <w:br/>
      </w:r>
    </w:p>
    <w:p w14:paraId="2C4C5DC4" w14:textId="77777777" w:rsidR="00C91504" w:rsidRDefault="001D65AC" w:rsidP="00C77787">
      <w:pPr>
        <w:spacing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D47A25">
        <w:rPr>
          <w:rFonts w:ascii="Bierstadt" w:hAnsi="Bierstadt"/>
          <w:b/>
          <w:bCs/>
          <w:sz w:val="20"/>
          <w:szCs w:val="20"/>
        </w:rPr>
        <w:t>Tijdelijke versoepeling indexatieregels</w:t>
      </w:r>
      <w:r w:rsidR="003C1940">
        <w:rPr>
          <w:rFonts w:ascii="Bierstadt" w:hAnsi="Bierstadt"/>
          <w:b/>
          <w:bCs/>
          <w:sz w:val="20"/>
          <w:szCs w:val="20"/>
        </w:rPr>
        <w:br/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Wet toekomst pensioenen (</w:t>
      </w:r>
      <w:proofErr w:type="spellStart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Wtp</w:t>
      </w:r>
      <w:proofErr w:type="spellEnd"/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) </w:t>
      </w:r>
      <w:r w:rsidR="00A36BB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op 1 juli 2023 ingegaan.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deze wet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is </w:t>
      </w:r>
      <w:r w:rsidR="00FA6DEA" w:rsidRPr="0045443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het nieuwe pensioenstelsel uitgewerkt. Onderdeel van de wet is dat pensioenen sneller kunnen meebewegen met de economische ontwikkelingen. </w:t>
      </w:r>
    </w:p>
    <w:p w14:paraId="69E751CB" w14:textId="6FE48196" w:rsidR="00BC2DDB" w:rsidRPr="00BC2DDB" w:rsidRDefault="005A314A" w:rsidP="00C77787">
      <w:pPr>
        <w:spacing w:line="276" w:lineRule="auto"/>
        <w:rPr>
          <w:rFonts w:ascii="Bierstadt" w:hAnsi="Bierstadt"/>
          <w:sz w:val="20"/>
          <w:szCs w:val="20"/>
        </w:rPr>
      </w:pPr>
      <w:r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Vooruitlopend op de 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invoering van </w:t>
      </w:r>
      <w:r w:rsidR="004F343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nieuwe pensioenregelingen</w:t>
      </w:r>
      <w:r w:rsidR="00B942ED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zijn de indexatieregels tijdelijk versoepeld.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De tijdelijkheid betr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of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in eerste instantie </w:t>
      </w:r>
      <w:r w:rsidR="00BD7CDE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periode van </w:t>
      </w:r>
      <w:r w:rsidR="00FB0ED1">
        <w:rPr>
          <w:rFonts w:ascii="Bierstadt" w:hAnsi="Bierstadt"/>
          <w:sz w:val="20"/>
          <w:szCs w:val="20"/>
        </w:rPr>
        <w:t>1 juli 2022 tot 1 januari 2023</w:t>
      </w:r>
      <w:r w:rsidR="00A3722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.</w:t>
      </w:r>
      <w:r w:rsidR="00F10CFB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Deze </w:t>
      </w:r>
      <w:r w:rsidR="00C9150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periode in verlengd tot 1 januari 2024. </w:t>
      </w:r>
      <w:r w:rsidR="00BC2DDB" w:rsidRPr="00BC2DDB">
        <w:rPr>
          <w:rFonts w:ascii="Bierstadt" w:hAnsi="Bierstadt"/>
          <w:sz w:val="20"/>
          <w:szCs w:val="20"/>
        </w:rPr>
        <w:t>Voorwaarden voor het gebruik van de tijdelijke regeling</w:t>
      </w:r>
      <w:r w:rsidR="00FE335D">
        <w:rPr>
          <w:rFonts w:ascii="Bierstadt" w:hAnsi="Bierstadt"/>
          <w:sz w:val="20"/>
          <w:szCs w:val="20"/>
        </w:rPr>
        <w:t xml:space="preserve"> zijn:</w:t>
      </w:r>
    </w:p>
    <w:p w14:paraId="4E388C1C" w14:textId="2070E7E4" w:rsidR="00056542" w:rsidRPr="00455044" w:rsidRDefault="00056542" w:rsidP="00056542">
      <w:pPr>
        <w:pStyle w:val="pf0"/>
        <w:numPr>
          <w:ilvl w:val="0"/>
          <w:numId w:val="12"/>
        </w:numPr>
        <w:rPr>
          <w:rFonts w:ascii="Bierstadt" w:hAnsi="Bierstadt" w:cs="Arial"/>
          <w:color w:val="000000"/>
          <w:sz w:val="20"/>
          <w:szCs w:val="20"/>
        </w:rPr>
      </w:pPr>
      <w:r w:rsidRPr="00455044">
        <w:rPr>
          <w:rFonts w:ascii="Bierstadt" w:hAnsi="Bierstadt" w:cs="Arial"/>
          <w:color w:val="000000"/>
          <w:sz w:val="20"/>
          <w:szCs w:val="20"/>
        </w:rPr>
        <w:t>Sociale partners hebben een intentie tot invaren</w:t>
      </w:r>
    </w:p>
    <w:p w14:paraId="68E8D2F4" w14:textId="220E520D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actuele en de beleidsdekkingsgraad </w:t>
      </w:r>
      <w:r w:rsidR="008B4AD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zijn </w:t>
      </w:r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hoger dan 105%, ook na het toekennen van de indexatie</w:t>
      </w:r>
    </w:p>
    <w:p w14:paraId="46F1C20B" w14:textId="4FEC4EA0" w:rsidR="00C77787" w:rsidRPr="00FB4A06" w:rsidRDefault="00C77787" w:rsidP="00774C8E">
      <w:pPr>
        <w:pStyle w:val="Lijstalinea"/>
        <w:numPr>
          <w:ilvl w:val="0"/>
          <w:numId w:val="12"/>
        </w:numPr>
        <w:shd w:val="clear" w:color="auto" w:fill="FFFFFF"/>
        <w:spacing w:before="100" w:beforeAutospacing="1" w:after="0" w:line="276" w:lineRule="auto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bookmarkStart w:id="0" w:name="_Hlk116908036"/>
      <w:r w:rsidRPr="00FB4A06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evenwichtigheid van het besluit moet onderbouwd worden door het inzichtelijk maken van de kwantitatieve generatie-effecten naar geboortejaar </w:t>
      </w:r>
    </w:p>
    <w:bookmarkEnd w:id="0"/>
    <w:p w14:paraId="1082435B" w14:textId="77777777" w:rsidR="00946C95" w:rsidRPr="00455044" w:rsidRDefault="00946C95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</w:p>
    <w:p w14:paraId="005C88AF" w14:textId="3A633A28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>Intentie tot invaren</w:t>
      </w:r>
    </w:p>
    <w:p w14:paraId="25262012" w14:textId="5C96A57A" w:rsidR="002637ED" w:rsidRPr="00455044" w:rsidRDefault="002637ED" w:rsidP="003F1C23">
      <w:pPr>
        <w:spacing w:line="276" w:lineRule="auto"/>
        <w:contextualSpacing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Sociale partners van </w:t>
      </w:r>
      <w:r w:rsidR="008112C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Pensioenkring </w:t>
      </w:r>
      <w:r w:rsidR="00E50293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Cargill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hebben hun intentie tot invaren naar het nieuwe pensioenstelsel kenbaar gemaakt.</w:t>
      </w:r>
      <w:r w:rsidR="00C35D09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</w:p>
    <w:p w14:paraId="377E46E8" w14:textId="125AA5A1" w:rsidR="003F1C23" w:rsidRPr="00455044" w:rsidRDefault="00D47A25" w:rsidP="003F1C23">
      <w:pPr>
        <w:spacing w:line="276" w:lineRule="auto"/>
        <w:contextualSpacing/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Financiële situatie </w:t>
      </w:r>
      <w:r w:rsidR="0095335F" w:rsidRPr="00455044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en indexatiebeleid </w:t>
      </w:r>
      <w:r w:rsidR="007F7DBD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 xml:space="preserve">Pensioenkring </w:t>
      </w:r>
      <w:r w:rsidR="00E50293">
        <w:rPr>
          <w:rFonts w:ascii="Bierstadt" w:eastAsia="Times New Roman" w:hAnsi="Bierstadt" w:cs="Arial"/>
          <w:b/>
          <w:bCs/>
          <w:color w:val="000000"/>
          <w:sz w:val="20"/>
          <w:szCs w:val="20"/>
          <w:lang w:eastAsia="nl-NL"/>
        </w:rPr>
        <w:t>Cargill</w:t>
      </w:r>
    </w:p>
    <w:p w14:paraId="387419D3" w14:textId="2A145745" w:rsidR="00E12AE9" w:rsidRPr="00E12AE9" w:rsidRDefault="003F1C23" w:rsidP="00A7032E">
      <w:pPr>
        <w:spacing w:line="276" w:lineRule="auto"/>
        <w:contextualSpacing/>
        <w:rPr>
          <w:rFonts w:ascii="Bierstadt" w:hAnsi="Bierstadt" w:cs="Bierstadt"/>
          <w:color w:val="000000"/>
          <w:sz w:val="24"/>
          <w:szCs w:val="24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dekkingsgraad eind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september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is bepalend of er op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anuari 202</w:t>
      </w:r>
      <w:r w:rsidR="00CD361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(gedeeltelijk) geïndexeerd kan worden. Bij </w:t>
      </w:r>
      <w:r w:rsidR="008112C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Pensioenkring </w:t>
      </w:r>
      <w:r w:rsidR="00E50293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Cargill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vindt de toeslagverlening jaarlijks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plaats. Door </w:t>
      </w:r>
      <w:r w:rsidR="002637ED"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een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beleidsdekkingsgraad eind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september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3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2637ED"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van </w:t>
      </w:r>
      <w:r w:rsidR="00BE7518" w:rsidRPr="00BE7518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145,5% 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is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</w:t>
      </w:r>
      <w:r w:rsidR="00D331AF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(gedeeltelijke)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indexatie per 1 j</w:t>
      </w:r>
      <w:r w:rsidR="00541AC1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anuari 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202</w:t>
      </w:r>
      <w:r w:rsidR="0076462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4</w:t>
      </w: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 mogelijk. </w:t>
      </w:r>
    </w:p>
    <w:p w14:paraId="4AED5AA2" w14:textId="62045C75" w:rsidR="00FD4E62" w:rsidRPr="00FD4E62" w:rsidRDefault="006233E4" w:rsidP="00275A87">
      <w:pPr>
        <w:autoSpaceDE w:val="0"/>
        <w:autoSpaceDN w:val="0"/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</w:pPr>
      <w:r w:rsidRPr="00455044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br/>
      </w:r>
      <w:r w:rsidR="00476D9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>Voor a</w:t>
      </w:r>
      <w:r w:rsidR="00FD4E62" w:rsidRPr="00FD4E6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lle deelnemers (actief en inactief) is de maatstaf </w:t>
      </w:r>
      <w:r w:rsidR="00476D97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voor toeslagverlening </w:t>
      </w:r>
      <w:r w:rsidR="00E72DB5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per 1 januari 2024 </w:t>
      </w:r>
      <w:r w:rsidR="00FD4E62" w:rsidRPr="00FD4E62">
        <w:rPr>
          <w:rFonts w:ascii="Bierstadt" w:eastAsia="Times New Roman" w:hAnsi="Bierstadt" w:cs="Arial"/>
          <w:color w:val="000000"/>
          <w:sz w:val="20"/>
          <w:szCs w:val="20"/>
          <w:lang w:eastAsia="nl-NL"/>
        </w:rPr>
        <w:t xml:space="preserve">de loonindex. Deze bedraagt 3,0%. Op basis van het bestaande beleid zou een gedeeltelijke indexatie van 2,98% mogelijk zijn per 1 januari 2024.  </w:t>
      </w:r>
    </w:p>
    <w:p w14:paraId="086C7D21" w14:textId="587F36AD" w:rsidR="00275A87" w:rsidRDefault="003912AD" w:rsidP="00275A87">
      <w:pPr>
        <w:autoSpaceDE w:val="0"/>
        <w:autoSpaceDN w:val="0"/>
        <w:rPr>
          <w:rFonts w:ascii="Bierstadt" w:hAnsi="Bierstadt" w:cs="Arial"/>
          <w:color w:val="000000"/>
          <w:sz w:val="20"/>
          <w:szCs w:val="20"/>
        </w:rPr>
      </w:pPr>
      <w:r w:rsidRPr="00B06DE6">
        <w:rPr>
          <w:rFonts w:ascii="Bierstadt" w:hAnsi="Bierstadt"/>
          <w:sz w:val="20"/>
          <w:szCs w:val="20"/>
        </w:rPr>
        <w:t>D</w:t>
      </w:r>
      <w:r w:rsidR="003B675C" w:rsidRPr="00B06DE6">
        <w:rPr>
          <w:rFonts w:ascii="Bierstadt" w:hAnsi="Bierstadt"/>
          <w:sz w:val="20"/>
          <w:szCs w:val="20"/>
        </w:rPr>
        <w:t xml:space="preserve">oor de </w:t>
      </w:r>
      <w:r w:rsidR="007707BC" w:rsidRPr="00B06DE6">
        <w:rPr>
          <w:rFonts w:ascii="Bierstadt" w:hAnsi="Bierstadt"/>
          <w:sz w:val="20"/>
          <w:szCs w:val="20"/>
        </w:rPr>
        <w:t xml:space="preserve">versoepelde indexatieregels </w:t>
      </w:r>
      <w:r w:rsidR="00A01D22" w:rsidRPr="00B06DE6">
        <w:rPr>
          <w:rFonts w:ascii="Bierstadt" w:hAnsi="Bierstadt"/>
          <w:sz w:val="20"/>
          <w:szCs w:val="20"/>
        </w:rPr>
        <w:t>is</w:t>
      </w:r>
      <w:r w:rsidR="003F1C23" w:rsidRPr="00B06DE6">
        <w:rPr>
          <w:rFonts w:ascii="Bierstadt" w:hAnsi="Bierstadt"/>
          <w:sz w:val="20"/>
          <w:szCs w:val="20"/>
        </w:rPr>
        <w:t xml:space="preserve"> toeslagverlening al vanaf een dekkingsgraad van 105% (beleids- en actuele dekkingsgraad) mogelijk, terwijl de grens eerder nog 110% bedroeg. </w:t>
      </w:r>
      <w:r w:rsidR="00416A66" w:rsidRPr="00B06DE6">
        <w:rPr>
          <w:rFonts w:ascii="Bierstadt" w:hAnsi="Bierstadt"/>
          <w:sz w:val="20"/>
          <w:szCs w:val="20"/>
        </w:rPr>
        <w:t xml:space="preserve">Ook is de </w:t>
      </w:r>
      <w:r w:rsidR="003F1C23" w:rsidRPr="00B06DE6">
        <w:rPr>
          <w:rFonts w:ascii="Bierstadt" w:hAnsi="Bierstadt"/>
          <w:sz w:val="20"/>
          <w:szCs w:val="20"/>
        </w:rPr>
        <w:t xml:space="preserve">toekomstbestendigheid van de toeslagverlening losgelaten. </w:t>
      </w:r>
      <w:r w:rsidR="00167027" w:rsidRPr="00B06DE6">
        <w:rPr>
          <w:rFonts w:ascii="Bierstadt" w:hAnsi="Bierstadt"/>
          <w:sz w:val="20"/>
          <w:szCs w:val="20"/>
        </w:rPr>
        <w:t>Door de</w:t>
      </w:r>
      <w:r w:rsidR="0037697E" w:rsidRPr="00B06DE6">
        <w:rPr>
          <w:rFonts w:ascii="Bierstadt" w:hAnsi="Bierstadt"/>
          <w:sz w:val="20"/>
          <w:szCs w:val="20"/>
        </w:rPr>
        <w:t>ze</w:t>
      </w:r>
      <w:r w:rsidR="00167027" w:rsidRPr="00B06DE6">
        <w:rPr>
          <w:rFonts w:ascii="Bierstadt" w:hAnsi="Bierstadt"/>
          <w:sz w:val="20"/>
          <w:szCs w:val="20"/>
        </w:rPr>
        <w:t xml:space="preserve"> versoepelde reg</w:t>
      </w:r>
      <w:r w:rsidR="000C6725" w:rsidRPr="00B06DE6">
        <w:rPr>
          <w:rFonts w:ascii="Bierstadt" w:hAnsi="Bierstadt"/>
          <w:sz w:val="20"/>
          <w:szCs w:val="20"/>
        </w:rPr>
        <w:t xml:space="preserve">els </w:t>
      </w:r>
      <w:r w:rsidR="00DA186E" w:rsidRPr="00B06DE6">
        <w:rPr>
          <w:rFonts w:ascii="Bierstadt" w:hAnsi="Bierstadt"/>
          <w:sz w:val="20"/>
          <w:szCs w:val="20"/>
        </w:rPr>
        <w:t>is</w:t>
      </w:r>
      <w:r w:rsidR="000C6725" w:rsidRPr="00B06DE6">
        <w:rPr>
          <w:rFonts w:ascii="Bierstadt" w:hAnsi="Bierstadt"/>
          <w:sz w:val="20"/>
          <w:szCs w:val="20"/>
        </w:rPr>
        <w:t xml:space="preserve"> een indexatie van </w:t>
      </w:r>
      <w:r w:rsidR="00BE7518" w:rsidRPr="00B06DE6">
        <w:rPr>
          <w:rFonts w:ascii="Bierstadt" w:hAnsi="Bierstadt"/>
          <w:sz w:val="20"/>
          <w:szCs w:val="20"/>
        </w:rPr>
        <w:t>3</w:t>
      </w:r>
      <w:r w:rsidR="000C6725" w:rsidRPr="00B06DE6">
        <w:rPr>
          <w:rFonts w:ascii="Bierstadt" w:hAnsi="Bierstadt"/>
          <w:sz w:val="20"/>
          <w:szCs w:val="20"/>
        </w:rPr>
        <w:t>% mogelijk</w:t>
      </w:r>
      <w:r w:rsidR="00716161" w:rsidRPr="00B06DE6">
        <w:rPr>
          <w:rFonts w:ascii="Bierstadt" w:hAnsi="Bierstadt"/>
          <w:sz w:val="20"/>
          <w:szCs w:val="20"/>
        </w:rPr>
        <w:t>.</w:t>
      </w:r>
      <w:r w:rsidR="00476D97">
        <w:rPr>
          <w:rFonts w:ascii="Bierstadt" w:hAnsi="Bierstadt"/>
          <w:sz w:val="20"/>
          <w:szCs w:val="20"/>
        </w:rPr>
        <w:br/>
      </w:r>
      <w:r w:rsidR="00716161">
        <w:rPr>
          <w:rFonts w:ascii="Bierstadt" w:hAnsi="Bierstadt" w:cs="Arial"/>
          <w:color w:val="000000"/>
          <w:sz w:val="20"/>
          <w:szCs w:val="20"/>
        </w:rPr>
        <w:t xml:space="preserve"> </w:t>
      </w:r>
    </w:p>
    <w:p w14:paraId="799BF167" w14:textId="4EFBB588" w:rsidR="002637ED" w:rsidRDefault="00ED08E2" w:rsidP="00275A87">
      <w:pPr>
        <w:autoSpaceDE w:val="0"/>
        <w:autoSpaceDN w:val="0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Kwantitatieve</w:t>
      </w:r>
      <w:r w:rsidR="00644610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g</w:t>
      </w:r>
      <w:r w:rsidR="008E7E0F" w:rsidRPr="004E555A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eneratie-effecten</w:t>
      </w:r>
      <w:r w:rsidR="00725E8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naar geboortejaar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Er moet worden aangetoond dat het indexatieb</w:t>
      </w:r>
      <w:r w:rsidR="002637ED" w:rsidRPr="004E4D3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esluit evenwichtig </w:t>
      </w:r>
      <w:r w:rsidR="002637E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is. </w:t>
      </w:r>
      <w:r w:rsidR="002637ED">
        <w:rPr>
          <w:rFonts w:ascii="Bierstadt" w:hAnsi="Bierstadt"/>
          <w:sz w:val="20"/>
          <w:szCs w:val="20"/>
        </w:rPr>
        <w:t xml:space="preserve">Het </w:t>
      </w:r>
      <w:r w:rsidR="002637ED" w:rsidRPr="00353E2B">
        <w:rPr>
          <w:rFonts w:ascii="Bierstadt" w:hAnsi="Bierstadt"/>
          <w:sz w:val="20"/>
          <w:szCs w:val="20"/>
        </w:rPr>
        <w:t xml:space="preserve">effect van de </w:t>
      </w:r>
      <w:r w:rsidR="007F7DBD">
        <w:rPr>
          <w:rFonts w:ascii="Bierstadt" w:hAnsi="Bierstadt"/>
          <w:sz w:val="20"/>
          <w:szCs w:val="20"/>
        </w:rPr>
        <w:t xml:space="preserve">extra </w:t>
      </w:r>
      <w:r w:rsidR="002637ED" w:rsidRPr="00353E2B">
        <w:rPr>
          <w:rFonts w:ascii="Bierstadt" w:hAnsi="Bierstadt"/>
          <w:sz w:val="20"/>
          <w:szCs w:val="20"/>
        </w:rPr>
        <w:t xml:space="preserve">verhoging per </w:t>
      </w:r>
      <w:r w:rsidR="00C633AD">
        <w:rPr>
          <w:rFonts w:ascii="Bierstadt" w:hAnsi="Bierstadt"/>
          <w:sz w:val="20"/>
          <w:szCs w:val="20"/>
        </w:rPr>
        <w:br/>
      </w:r>
      <w:r w:rsidR="002637ED" w:rsidRPr="00353E2B">
        <w:rPr>
          <w:rFonts w:ascii="Bierstadt" w:hAnsi="Bierstadt"/>
          <w:sz w:val="20"/>
          <w:szCs w:val="20"/>
        </w:rPr>
        <w:t>1 j</w:t>
      </w:r>
      <w:r w:rsidR="003B6E08">
        <w:rPr>
          <w:rFonts w:ascii="Bierstadt" w:hAnsi="Bierstadt"/>
          <w:sz w:val="20"/>
          <w:szCs w:val="20"/>
        </w:rPr>
        <w:t>anuari</w:t>
      </w:r>
      <w:r w:rsidR="002637ED" w:rsidRPr="00353E2B">
        <w:rPr>
          <w:rFonts w:ascii="Bierstadt" w:hAnsi="Bierstadt"/>
          <w:sz w:val="20"/>
          <w:szCs w:val="20"/>
        </w:rPr>
        <w:t xml:space="preserve"> 202</w:t>
      </w:r>
      <w:r w:rsidR="00613852">
        <w:rPr>
          <w:rFonts w:ascii="Bierstadt" w:hAnsi="Bierstadt"/>
          <w:sz w:val="20"/>
          <w:szCs w:val="20"/>
        </w:rPr>
        <w:t>4</w:t>
      </w:r>
      <w:r w:rsidR="002637ED" w:rsidRPr="00353E2B">
        <w:rPr>
          <w:rFonts w:ascii="Bierstadt" w:hAnsi="Bierstadt"/>
          <w:sz w:val="20"/>
          <w:szCs w:val="20"/>
        </w:rPr>
        <w:t xml:space="preserve"> verschilt </w:t>
      </w:r>
      <w:r w:rsidR="002637ED">
        <w:rPr>
          <w:rFonts w:ascii="Bierstadt" w:hAnsi="Bierstadt"/>
          <w:sz w:val="20"/>
          <w:szCs w:val="20"/>
        </w:rPr>
        <w:t xml:space="preserve">namelijk </w:t>
      </w:r>
      <w:r w:rsidR="002637ED" w:rsidRPr="00353E2B">
        <w:rPr>
          <w:rFonts w:ascii="Bierstadt" w:hAnsi="Bierstadt"/>
          <w:sz w:val="20"/>
          <w:szCs w:val="20"/>
        </w:rPr>
        <w:t>per generatie.</w:t>
      </w:r>
    </w:p>
    <w:p w14:paraId="7ED9C788" w14:textId="6A5560BF" w:rsidR="0031212F" w:rsidRDefault="00922F9D" w:rsidP="00A7032E">
      <w:pPr>
        <w:spacing w:line="276" w:lineRule="auto"/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Het bestuur </w:t>
      </w:r>
      <w:r w:rsidR="00241A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HNPF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heeft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daarom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de effecten </w:t>
      </w:r>
      <w:r w:rsidR="00832AD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onderzocht </w:t>
      </w:r>
      <w:r w:rsidR="00CB03F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gebruikmaken van de versoepelde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voor de verschillende generaties</w:t>
      </w:r>
      <w:r w:rsidR="00CD622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t.o.v. de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reguliere indexatieregels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. </w:t>
      </w:r>
      <w:r w:rsidR="00C605E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Daarvoor is gebruik </w:t>
      </w:r>
      <w:r w:rsidR="00C605E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lastRenderedPageBreak/>
        <w:t xml:space="preserve">gemaakt van de 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haalbaarheidstoets</w:t>
      </w:r>
      <w:r w:rsidR="00E24DD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*</w:t>
      </w:r>
      <w:r w:rsidR="0079106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die jaarlijks aangeeft hoe het pensioenresultaat zich ontwikkelt voor de verschillende generaties. Dit </w:t>
      </w:r>
      <w:r w:rsidR="002D1610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is 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opnieuw gemeten met toeslagverlening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de versoepelde indexatieregels </w:t>
      </w:r>
      <w:r w:rsidR="00D959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 w:rsidR="00B06DE6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3</w:t>
      </w:r>
      <w:r w:rsidR="00D959E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%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t.o.v. een toeslagverlening </w:t>
      </w:r>
      <w:r w:rsidR="00684403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o.b.v. bestaand beleid 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</w:t>
      </w:r>
      <w:r w:rsidR="00B06DE6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2,98</w:t>
      </w:r>
      <w:r w:rsidR="00C808CC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3755A5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52219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798E083" w14:textId="27B14C76" w:rsidR="00C6430C" w:rsidRDefault="00CF1F1F" w:rsidP="00C6430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CED546" wp14:editId="1FACF295">
            <wp:simplePos x="0" y="0"/>
            <wp:positionH relativeFrom="column">
              <wp:posOffset>62230</wp:posOffset>
            </wp:positionH>
            <wp:positionV relativeFrom="paragraph">
              <wp:posOffset>62865</wp:posOffset>
            </wp:positionV>
            <wp:extent cx="4981575" cy="2343150"/>
            <wp:effectExtent l="0" t="0" r="9525" b="0"/>
            <wp:wrapSquare wrapText="bothSides"/>
            <wp:docPr id="850635539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4C865CE8-4BBF-49D8-9FBB-5C1E4942E9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922F9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E12AE9" w:rsidRPr="00E12AE9">
        <w:rPr>
          <w:noProof/>
        </w:rPr>
        <w:t xml:space="preserve"> </w:t>
      </w:r>
    </w:p>
    <w:p w14:paraId="3EFEE3A3" w14:textId="62ED1DB8" w:rsidR="004A26B2" w:rsidRDefault="004A26B2" w:rsidP="00C6430C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500C3640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6CA8AB96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273B8EC2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65F1FD44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55B636CB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045AC866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4335B781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30D4E882" w14:textId="77777777" w:rsidR="00CF1F1F" w:rsidRDefault="00CF1F1F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07EA924F" w14:textId="7ECD9B8A" w:rsidR="00EB24E6" w:rsidRDefault="00F649FD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 w:rsidRPr="00D7135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pensioenresultaat is nagenoeg ongewijzigd door de beperkt hogere toeslag.</w:t>
      </w:r>
      <w:r w:rsidR="000352FA">
        <w:rPr>
          <w:rFonts w:ascii="Bierstadt" w:hAnsi="Bierstadt"/>
          <w:sz w:val="20"/>
          <w:szCs w:val="20"/>
        </w:rPr>
        <w:t xml:space="preserve"> </w:t>
      </w:r>
    </w:p>
    <w:p w14:paraId="5D6182C1" w14:textId="6B2488A2" w:rsidR="005F58B2" w:rsidRDefault="005F58B2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In onderstaande tabellen worden de pensioenresultaten voor verschillende leeftijdscohorten inzichtelijk gemaakt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met een toeslag van </w:t>
      </w:r>
      <w:r w:rsidR="002B224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2,98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% 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</w:t>
      </w:r>
      <w:r w:rsidR="007F7DB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een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toeslag van </w:t>
      </w:r>
      <w:r w:rsidR="002B2242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3</w:t>
      </w:r>
      <w:r w:rsidR="00F649FD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,0</w:t>
      </w:r>
      <w:r w:rsidR="00EE0CE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in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202</w:t>
      </w:r>
      <w:r w:rsidR="001D373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4</w:t>
      </w:r>
      <w:r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r w:rsidR="008A51FB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294B0F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Zo 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daalt </w:t>
      </w:r>
      <w:r w:rsidR="00294B0F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</w:t>
      </w:r>
      <w:r w:rsidR="00A9769C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et pensioenresultaat van een 25-jarige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met </w:t>
      </w:r>
      <w:proofErr w:type="gramStart"/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circa</w:t>
      </w:r>
      <w:proofErr w:type="gramEnd"/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5D2C4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1% </w:t>
      </w:r>
      <w:r w:rsidR="004A26B2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en neemt het </w:t>
      </w:r>
      <w:r w:rsidR="00BE436D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pensioenresultaat van een 75-jarige toe </w:t>
      </w:r>
      <w:r w:rsidR="00A7032E" w:rsidRPr="00A7032E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met </w:t>
      </w:r>
      <w:r w:rsidR="005D2C41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0,1</w:t>
      </w:r>
      <w:r w:rsidR="00FE6D5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%</w:t>
      </w:r>
      <w:r w:rsidR="00F016B9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. </w:t>
      </w:r>
    </w:p>
    <w:p w14:paraId="08115185" w14:textId="77777777" w:rsidR="00300B1A" w:rsidRDefault="00300B1A" w:rsidP="005F58B2">
      <w:pPr>
        <w:rPr>
          <w:rFonts w:ascii="Bierstadt" w:hAnsi="Bierstadt" w:cs="Arial"/>
          <w:color w:val="000000"/>
          <w:sz w:val="20"/>
          <w:szCs w:val="20"/>
          <w:shd w:val="clear" w:color="auto" w:fill="FFFFFF"/>
        </w:rPr>
      </w:pPr>
    </w:p>
    <w:p w14:paraId="75B24598" w14:textId="1664B8B8" w:rsidR="003B6E08" w:rsidRDefault="00793CB6" w:rsidP="005F58B2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Pensioenresultaat 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met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verlening o.b.v. van bestaand be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l</w:t>
      </w:r>
      <w:r w:rsidR="006D184C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eid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van</w:t>
      </w:r>
      <w:r w:rsidR="00D959E8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7114F" w:rsidRPr="0007114F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2,98</w:t>
      </w:r>
      <w:r w:rsidR="006D184C" w:rsidRPr="0007114F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  <w:r w:rsidR="004A26B2" w:rsidRPr="004A26B2">
        <w:rPr>
          <w:noProof/>
        </w:rPr>
        <w:t xml:space="preserve"> </w:t>
      </w:r>
    </w:p>
    <w:p w14:paraId="322C9D18" w14:textId="20D8FC68" w:rsidR="00B3288C" w:rsidRDefault="00807520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807520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3F57F853" wp14:editId="4520B045">
            <wp:extent cx="5760720" cy="2268855"/>
            <wp:effectExtent l="0" t="0" r="0" b="0"/>
            <wp:docPr id="505759180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59180" name="Afbeelding 1" descr="Afbeelding met tekst, schermopname, Lettertype, nummer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E5640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DDFC14E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368F411D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9B68745" w14:textId="77777777" w:rsidR="00300B1A" w:rsidRDefault="00300B1A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773D995" w14:textId="77777777" w:rsidR="00B3288C" w:rsidRDefault="00B3288C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49EA1735" w14:textId="77777777" w:rsidR="00196DE7" w:rsidRDefault="00196DE7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425DB213" w14:textId="77777777" w:rsidR="00196DE7" w:rsidRDefault="00196DE7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</w:p>
    <w:p w14:paraId="1497621A" w14:textId="2BD1840D" w:rsidR="00B3288C" w:rsidRDefault="00793CB6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lastRenderedPageBreak/>
        <w:t xml:space="preserve">Pensioenresultaat met 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versoepelde </w:t>
      </w:r>
      <w:r w:rsidRPr="00793CB6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toeslag</w:t>
      </w:r>
      <w:r w:rsidR="00B81A91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 xml:space="preserve">verlening van </w:t>
      </w:r>
      <w:r w:rsidR="0007114F" w:rsidRPr="0007114F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3</w:t>
      </w:r>
      <w:r w:rsidR="00B81A91" w:rsidRPr="0007114F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%</w:t>
      </w:r>
    </w:p>
    <w:p w14:paraId="1B38F97C" w14:textId="0B2161D2" w:rsidR="00D85B60" w:rsidRDefault="00AE313D" w:rsidP="00C6430C">
      <w:pP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</w:pPr>
      <w:r w:rsidRPr="00AE313D">
        <w:rPr>
          <w:rFonts w:ascii="Bierstadt" w:hAnsi="Bierstadt" w:cs="Arial"/>
          <w:b/>
          <w:b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1AB27BE0" wp14:editId="0651D732">
            <wp:extent cx="5760720" cy="2335530"/>
            <wp:effectExtent l="0" t="0" r="0" b="7620"/>
            <wp:docPr id="1319388041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88041" name="Afbeelding 1" descr="Afbeelding met tekst, schermopname, Lettertype, nummer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9BC6" w14:textId="4EC80D03" w:rsidR="0093462D" w:rsidRPr="0093462D" w:rsidRDefault="007F7DBD" w:rsidP="00C6430C"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Naast de impact op het pensioenresultaat is ook gekeken w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at de impact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is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van de extra toeslag op de verdeling van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het overschot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(resterend vermogen) </w:t>
      </w:r>
      <w:r w:rsidRPr="005F20C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bij invaren </w:t>
      </w:r>
      <w:r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naar het nieuwe pensioenstelsel.</w:t>
      </w:r>
      <w:r w:rsidRPr="005F20CB">
        <w:rPr>
          <w:rFonts w:ascii="Bierstadt" w:eastAsia="Times New Roman" w:hAnsi="Bierstadt" w:cs="Arial"/>
          <w:bCs/>
          <w:sz w:val="20"/>
          <w:szCs w:val="20"/>
          <w:lang w:eastAsia="nl-NL"/>
        </w:rPr>
        <w:t xml:space="preserve"> </w:t>
      </w:r>
      <w:r w:rsidR="0089155F">
        <w:rPr>
          <w:rFonts w:ascii="Bierstadt" w:hAnsi="Bierstadt"/>
          <w:sz w:val="20"/>
          <w:szCs w:val="20"/>
        </w:rPr>
        <w:t xml:space="preserve">Ook hier geldt dat er nauwelijks impact is door de beperkt hogere </w:t>
      </w:r>
      <w:proofErr w:type="gramStart"/>
      <w:r w:rsidR="0089155F">
        <w:rPr>
          <w:rFonts w:ascii="Bierstadt" w:hAnsi="Bierstadt"/>
          <w:sz w:val="20"/>
          <w:szCs w:val="20"/>
        </w:rPr>
        <w:t>toeslag.</w:t>
      </w:r>
      <w:r w:rsidR="00CB5398" w:rsidRPr="00CB539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>.</w:t>
      </w:r>
      <w:proofErr w:type="gramEnd"/>
      <w:r w:rsidR="00CB5398" w:rsidRPr="00CB539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C645EC4" w14:textId="7D3861D5" w:rsidR="00674EF7" w:rsidRDefault="00613876" w:rsidP="00674EF7">
      <w:pPr>
        <w:rPr>
          <w:rFonts w:ascii="Bierstadt" w:hAnsi="Bierstadt"/>
          <w:sz w:val="20"/>
          <w:szCs w:val="20"/>
        </w:rPr>
      </w:pPr>
      <w:r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C</w:t>
      </w:r>
      <w:r w:rsidR="006A1EA5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onclusi</w:t>
      </w:r>
      <w:r w:rsidR="00ED6239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t>e</w:t>
      </w:r>
      <w:r w:rsidR="00674EF7">
        <w:rPr>
          <w:rFonts w:ascii="Bierstadt" w:hAnsi="Bierstadt" w:cs="Arial"/>
          <w:b/>
          <w:bCs/>
          <w:color w:val="000000"/>
          <w:sz w:val="20"/>
          <w:szCs w:val="20"/>
          <w:shd w:val="clear" w:color="auto" w:fill="FFFFFF"/>
        </w:rPr>
        <w:br/>
      </w:r>
      <w:r w:rsidR="00DB4DA3">
        <w:rPr>
          <w:rFonts w:ascii="Bierstadt" w:hAnsi="Bierstadt"/>
          <w:sz w:val="20"/>
          <w:szCs w:val="20"/>
        </w:rPr>
        <w:t>Door de geringe hoogte van de extra toeslag (0,0</w:t>
      </w:r>
      <w:r w:rsidR="00FF54A3">
        <w:rPr>
          <w:rFonts w:ascii="Bierstadt" w:hAnsi="Bierstadt"/>
          <w:sz w:val="20"/>
          <w:szCs w:val="20"/>
        </w:rPr>
        <w:t>2</w:t>
      </w:r>
      <w:r w:rsidR="00DB4DA3">
        <w:rPr>
          <w:rFonts w:ascii="Bierstadt" w:hAnsi="Bierstadt"/>
          <w:sz w:val="20"/>
          <w:szCs w:val="20"/>
        </w:rPr>
        <w:t>%) zijn de generatie-effecten van de extra toeslag marginaal.</w:t>
      </w:r>
      <w:r w:rsidR="000A236B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t xml:space="preserve"> </w:t>
      </w:r>
      <w:r w:rsidR="000A236B" w:rsidRPr="00CB5398">
        <w:rPr>
          <w:rFonts w:ascii="Bierstadt" w:hAnsi="Bierstadt" w:cs="Arial"/>
          <w:color w:val="000000"/>
          <w:sz w:val="20"/>
          <w:szCs w:val="20"/>
          <w:shd w:val="clear" w:color="auto" w:fill="FFFFFF"/>
        </w:rPr>
        <w:br/>
      </w:r>
    </w:p>
    <w:p w14:paraId="1078D3EF" w14:textId="77777777" w:rsidR="0067632D" w:rsidRPr="00455044" w:rsidRDefault="0067632D" w:rsidP="00674EF7">
      <w:pPr>
        <w:rPr>
          <w:rFonts w:ascii="Bierstadt" w:hAnsi="Bierstadt"/>
          <w:sz w:val="20"/>
          <w:szCs w:val="20"/>
        </w:rPr>
      </w:pPr>
    </w:p>
    <w:p w14:paraId="59261F62" w14:textId="0A3D3AEB" w:rsidR="00613876" w:rsidRPr="004E6D22" w:rsidRDefault="00613876" w:rsidP="00613876">
      <w:pPr>
        <w:pStyle w:val="Default"/>
        <w:spacing w:line="276" w:lineRule="auto"/>
        <w:rPr>
          <w:rFonts w:ascii="Bierstadt" w:hAnsi="Bierstadt" w:cstheme="minorBidi"/>
          <w:i/>
          <w:iCs/>
          <w:color w:val="auto"/>
          <w:sz w:val="14"/>
          <w:szCs w:val="14"/>
        </w:rPr>
      </w:pPr>
      <w:r w:rsidRPr="004E6D22">
        <w:rPr>
          <w:rFonts w:ascii="Bierstadt" w:hAnsi="Bierstadt" w:cs="Arial"/>
          <w:i/>
          <w:iCs/>
          <w:sz w:val="14"/>
          <w:szCs w:val="14"/>
          <w:shd w:val="clear" w:color="auto" w:fill="FFFFFF"/>
        </w:rPr>
        <w:t xml:space="preserve">*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De haalbaarheidstoets </w:t>
      </w:r>
      <w:r w:rsidR="004A26B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(HBT) </w:t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is een instrument om op lange termijn, tot 60 jaar verder, de pensioentoezeggingen te toetsen. De uitkomst is het zogenaamde pensioenresultaat. Het is de som van de verwachte reële uitkeringen </w:t>
      </w:r>
      <w:proofErr w:type="gramStart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conform</w:t>
      </w:r>
      <w:proofErr w:type="gramEnd"/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 xml:space="preserve"> beleid gedeeld door de som van de verwachte reële uitkeringen zonder korten en altijd </w:t>
      </w:r>
      <w:r w:rsidRPr="004E6D22">
        <w:rPr>
          <w:rFonts w:ascii="Bierstadt" w:hAnsi="Bierstadt" w:cstheme="minorBidi"/>
          <w:i/>
          <w:iCs/>
          <w:sz w:val="14"/>
          <w:szCs w:val="14"/>
        </w:rPr>
        <w:t xml:space="preserve">indexeren X 100%. </w:t>
      </w:r>
      <w:r w:rsidRPr="004E6D22">
        <w:rPr>
          <w:rFonts w:ascii="Bierstadt" w:hAnsi="Bierstadt" w:cstheme="minorBidi"/>
          <w:i/>
          <w:iCs/>
          <w:sz w:val="14"/>
          <w:szCs w:val="14"/>
        </w:rPr>
        <w:br/>
      </w:r>
      <w:r w:rsidRPr="004E6D22">
        <w:rPr>
          <w:rFonts w:ascii="Bierstadt" w:hAnsi="Bierstadt" w:cstheme="minorBidi"/>
          <w:i/>
          <w:iCs/>
          <w:color w:val="auto"/>
          <w:sz w:val="14"/>
          <w:szCs w:val="14"/>
        </w:rPr>
        <w:t>Pensioenfondsen dienen jaarlijks een haalbaarheidstoets uit te voeren. Het geeft inzicht in de samenhang tussen de financiële opzet, het verwachte pensioenresultaat en de risico’s die daarbij gelden.</w:t>
      </w:r>
    </w:p>
    <w:p w14:paraId="01313E0D" w14:textId="77777777" w:rsidR="00613876" w:rsidRPr="00455044" w:rsidRDefault="00613876" w:rsidP="003116BE">
      <w:pPr>
        <w:rPr>
          <w:rFonts w:ascii="Bierstadt" w:hAnsi="Bierstadt"/>
          <w:sz w:val="20"/>
          <w:szCs w:val="20"/>
        </w:rPr>
      </w:pPr>
    </w:p>
    <w:sectPr w:rsidR="00613876" w:rsidRPr="0045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erstadt">
    <w:charset w:val="00"/>
    <w:family w:val="swiss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altName w:val="Cambria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31A40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104361"/>
    <w:multiLevelType w:val="hybridMultilevel"/>
    <w:tmpl w:val="E32A7AD8"/>
    <w:lvl w:ilvl="0" w:tplc="A926BD54">
      <w:start w:val="1"/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F31"/>
    <w:multiLevelType w:val="hybridMultilevel"/>
    <w:tmpl w:val="4400065C"/>
    <w:lvl w:ilvl="0" w:tplc="0413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74"/>
    <w:multiLevelType w:val="hybridMultilevel"/>
    <w:tmpl w:val="5A9EF28C"/>
    <w:lvl w:ilvl="0" w:tplc="63E25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C52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0D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44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7CB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3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8C3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5AA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85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0E3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F3332D"/>
    <w:multiLevelType w:val="hybridMultilevel"/>
    <w:tmpl w:val="4C98E830"/>
    <w:lvl w:ilvl="0" w:tplc="57E2CFE0">
      <w:numFmt w:val="bullet"/>
      <w:lvlText w:val="•"/>
      <w:lvlJc w:val="left"/>
      <w:pPr>
        <w:ind w:left="720" w:hanging="360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97B9A"/>
    <w:multiLevelType w:val="hybridMultilevel"/>
    <w:tmpl w:val="AC20C7B4"/>
    <w:lvl w:ilvl="0" w:tplc="DB247D3A">
      <w:numFmt w:val="bullet"/>
      <w:lvlText w:val="-"/>
      <w:lvlJc w:val="left"/>
      <w:pPr>
        <w:ind w:left="1068" w:hanging="708"/>
      </w:pPr>
      <w:rPr>
        <w:rFonts w:ascii="Museo Sans 300" w:eastAsia="Times New Roman" w:hAnsi="Museo Sans 300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65ADE"/>
    <w:multiLevelType w:val="hybridMultilevel"/>
    <w:tmpl w:val="8E38981A"/>
    <w:lvl w:ilvl="0" w:tplc="A008E9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8A1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A76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58D1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16A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D01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087B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E71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C4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C2B7B"/>
    <w:multiLevelType w:val="hybridMultilevel"/>
    <w:tmpl w:val="9F3A1408"/>
    <w:lvl w:ilvl="0" w:tplc="9086EA36">
      <w:numFmt w:val="bullet"/>
      <w:lvlText w:val="-"/>
      <w:lvlJc w:val="left"/>
      <w:pPr>
        <w:ind w:left="720" w:hanging="360"/>
      </w:pPr>
      <w:rPr>
        <w:rFonts w:ascii="Bierstadt" w:eastAsiaTheme="minorHAnsi" w:hAnsi="Bierstad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16D0D"/>
    <w:multiLevelType w:val="multilevel"/>
    <w:tmpl w:val="5C0C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9E3D62"/>
    <w:multiLevelType w:val="hybridMultilevel"/>
    <w:tmpl w:val="8CEA5DB4"/>
    <w:lvl w:ilvl="0" w:tplc="69F66770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3308E"/>
    <w:multiLevelType w:val="hybridMultilevel"/>
    <w:tmpl w:val="3364F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3491">
    <w:abstractNumId w:val="8"/>
  </w:num>
  <w:num w:numId="2" w16cid:durableId="1628854800">
    <w:abstractNumId w:val="1"/>
  </w:num>
  <w:num w:numId="3" w16cid:durableId="1637177542">
    <w:abstractNumId w:val="6"/>
  </w:num>
  <w:num w:numId="4" w16cid:durableId="126096268">
    <w:abstractNumId w:val="5"/>
  </w:num>
  <w:num w:numId="5" w16cid:durableId="1233539106">
    <w:abstractNumId w:val="2"/>
  </w:num>
  <w:num w:numId="6" w16cid:durableId="790904404">
    <w:abstractNumId w:val="0"/>
  </w:num>
  <w:num w:numId="7" w16cid:durableId="1191333486">
    <w:abstractNumId w:val="4"/>
  </w:num>
  <w:num w:numId="8" w16cid:durableId="1950508415">
    <w:abstractNumId w:val="3"/>
  </w:num>
  <w:num w:numId="9" w16cid:durableId="2053378489">
    <w:abstractNumId w:val="7"/>
  </w:num>
  <w:num w:numId="10" w16cid:durableId="1110272044">
    <w:abstractNumId w:val="9"/>
  </w:num>
  <w:num w:numId="11" w16cid:durableId="1385592916">
    <w:abstractNumId w:val="10"/>
  </w:num>
  <w:num w:numId="12" w16cid:durableId="1737514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2B"/>
    <w:rsid w:val="000352FA"/>
    <w:rsid w:val="0004741B"/>
    <w:rsid w:val="00056542"/>
    <w:rsid w:val="000573DF"/>
    <w:rsid w:val="000604B4"/>
    <w:rsid w:val="00066BDF"/>
    <w:rsid w:val="0007114F"/>
    <w:rsid w:val="000A236B"/>
    <w:rsid w:val="000C594E"/>
    <w:rsid w:val="000C6725"/>
    <w:rsid w:val="000D7897"/>
    <w:rsid w:val="000F3C76"/>
    <w:rsid w:val="0012159D"/>
    <w:rsid w:val="00152D10"/>
    <w:rsid w:val="00163283"/>
    <w:rsid w:val="00167027"/>
    <w:rsid w:val="0016782A"/>
    <w:rsid w:val="00177B54"/>
    <w:rsid w:val="00193DD3"/>
    <w:rsid w:val="001940B6"/>
    <w:rsid w:val="00196DE7"/>
    <w:rsid w:val="001B00AC"/>
    <w:rsid w:val="001B588B"/>
    <w:rsid w:val="001D373E"/>
    <w:rsid w:val="001D65AC"/>
    <w:rsid w:val="00215669"/>
    <w:rsid w:val="002159F0"/>
    <w:rsid w:val="00241AE8"/>
    <w:rsid w:val="002465C4"/>
    <w:rsid w:val="00255E39"/>
    <w:rsid w:val="00261EDD"/>
    <w:rsid w:val="002637ED"/>
    <w:rsid w:val="00275A87"/>
    <w:rsid w:val="002820AB"/>
    <w:rsid w:val="00294B0F"/>
    <w:rsid w:val="002B2242"/>
    <w:rsid w:val="002C1E2B"/>
    <w:rsid w:val="002D1610"/>
    <w:rsid w:val="002F5A42"/>
    <w:rsid w:val="00300B1A"/>
    <w:rsid w:val="00300FA9"/>
    <w:rsid w:val="00306170"/>
    <w:rsid w:val="003116BE"/>
    <w:rsid w:val="0031212F"/>
    <w:rsid w:val="00313CDF"/>
    <w:rsid w:val="00317F79"/>
    <w:rsid w:val="00353E2B"/>
    <w:rsid w:val="00365E82"/>
    <w:rsid w:val="003755A5"/>
    <w:rsid w:val="0037697E"/>
    <w:rsid w:val="003814C7"/>
    <w:rsid w:val="0038438A"/>
    <w:rsid w:val="003912AD"/>
    <w:rsid w:val="003938E8"/>
    <w:rsid w:val="003B5F6D"/>
    <w:rsid w:val="003B675C"/>
    <w:rsid w:val="003B6E08"/>
    <w:rsid w:val="003C1940"/>
    <w:rsid w:val="003F1C23"/>
    <w:rsid w:val="003F5A65"/>
    <w:rsid w:val="00405AE1"/>
    <w:rsid w:val="00410594"/>
    <w:rsid w:val="00416A66"/>
    <w:rsid w:val="00425101"/>
    <w:rsid w:val="00436CFC"/>
    <w:rsid w:val="004513AE"/>
    <w:rsid w:val="00454434"/>
    <w:rsid w:val="00455044"/>
    <w:rsid w:val="00462556"/>
    <w:rsid w:val="00470B5A"/>
    <w:rsid w:val="00476D97"/>
    <w:rsid w:val="00493283"/>
    <w:rsid w:val="004A26B2"/>
    <w:rsid w:val="004C206B"/>
    <w:rsid w:val="004D37B8"/>
    <w:rsid w:val="004E555A"/>
    <w:rsid w:val="004E6AF9"/>
    <w:rsid w:val="004E6D22"/>
    <w:rsid w:val="004F1047"/>
    <w:rsid w:val="004F2C99"/>
    <w:rsid w:val="004F3438"/>
    <w:rsid w:val="00502829"/>
    <w:rsid w:val="0050317F"/>
    <w:rsid w:val="00522191"/>
    <w:rsid w:val="00525571"/>
    <w:rsid w:val="00541AC1"/>
    <w:rsid w:val="00567E29"/>
    <w:rsid w:val="00573165"/>
    <w:rsid w:val="005A314A"/>
    <w:rsid w:val="005C0856"/>
    <w:rsid w:val="005C11D3"/>
    <w:rsid w:val="005C7B90"/>
    <w:rsid w:val="005D2C41"/>
    <w:rsid w:val="005D49A5"/>
    <w:rsid w:val="005E5641"/>
    <w:rsid w:val="005F58B2"/>
    <w:rsid w:val="00600FA5"/>
    <w:rsid w:val="00604DE0"/>
    <w:rsid w:val="00613852"/>
    <w:rsid w:val="00613876"/>
    <w:rsid w:val="006233E4"/>
    <w:rsid w:val="00644610"/>
    <w:rsid w:val="00674EF7"/>
    <w:rsid w:val="0067632D"/>
    <w:rsid w:val="00684403"/>
    <w:rsid w:val="006A1EA5"/>
    <w:rsid w:val="006A5197"/>
    <w:rsid w:val="006B54C6"/>
    <w:rsid w:val="006C0D06"/>
    <w:rsid w:val="006C2E7E"/>
    <w:rsid w:val="006D184C"/>
    <w:rsid w:val="0071576D"/>
    <w:rsid w:val="00716161"/>
    <w:rsid w:val="007210D1"/>
    <w:rsid w:val="00725E89"/>
    <w:rsid w:val="00752AC7"/>
    <w:rsid w:val="00762D6C"/>
    <w:rsid w:val="00764627"/>
    <w:rsid w:val="007707BC"/>
    <w:rsid w:val="00774C8E"/>
    <w:rsid w:val="00791065"/>
    <w:rsid w:val="00793CB6"/>
    <w:rsid w:val="007964F4"/>
    <w:rsid w:val="0079783C"/>
    <w:rsid w:val="007A7CA5"/>
    <w:rsid w:val="007B7FD6"/>
    <w:rsid w:val="007C5CDC"/>
    <w:rsid w:val="007F1F3E"/>
    <w:rsid w:val="007F7DBD"/>
    <w:rsid w:val="0080006B"/>
    <w:rsid w:val="00807520"/>
    <w:rsid w:val="008100F1"/>
    <w:rsid w:val="008112C2"/>
    <w:rsid w:val="008202A7"/>
    <w:rsid w:val="00825D6E"/>
    <w:rsid w:val="00832AD9"/>
    <w:rsid w:val="008378C4"/>
    <w:rsid w:val="00840EF9"/>
    <w:rsid w:val="00846F5B"/>
    <w:rsid w:val="008577C9"/>
    <w:rsid w:val="008741E2"/>
    <w:rsid w:val="00887158"/>
    <w:rsid w:val="0089155F"/>
    <w:rsid w:val="008969BA"/>
    <w:rsid w:val="008A3C7C"/>
    <w:rsid w:val="008A51FB"/>
    <w:rsid w:val="008B009F"/>
    <w:rsid w:val="008B242A"/>
    <w:rsid w:val="008B4AD5"/>
    <w:rsid w:val="008B5C20"/>
    <w:rsid w:val="008C2347"/>
    <w:rsid w:val="008E3F16"/>
    <w:rsid w:val="008E7E0F"/>
    <w:rsid w:val="008F7F18"/>
    <w:rsid w:val="00904B06"/>
    <w:rsid w:val="00922F9D"/>
    <w:rsid w:val="0093462D"/>
    <w:rsid w:val="009419BD"/>
    <w:rsid w:val="00946C95"/>
    <w:rsid w:val="00950545"/>
    <w:rsid w:val="0095335F"/>
    <w:rsid w:val="00954267"/>
    <w:rsid w:val="00974F37"/>
    <w:rsid w:val="00991ED5"/>
    <w:rsid w:val="009C3945"/>
    <w:rsid w:val="009D3BF0"/>
    <w:rsid w:val="009F1D0C"/>
    <w:rsid w:val="00A01D22"/>
    <w:rsid w:val="00A14630"/>
    <w:rsid w:val="00A15729"/>
    <w:rsid w:val="00A22115"/>
    <w:rsid w:val="00A36BB6"/>
    <w:rsid w:val="00A37224"/>
    <w:rsid w:val="00A7032E"/>
    <w:rsid w:val="00A87115"/>
    <w:rsid w:val="00A95AAD"/>
    <w:rsid w:val="00A9769C"/>
    <w:rsid w:val="00AA3383"/>
    <w:rsid w:val="00AE313D"/>
    <w:rsid w:val="00B0244F"/>
    <w:rsid w:val="00B05393"/>
    <w:rsid w:val="00B06DE6"/>
    <w:rsid w:val="00B07BB8"/>
    <w:rsid w:val="00B1459F"/>
    <w:rsid w:val="00B3288C"/>
    <w:rsid w:val="00B74DE1"/>
    <w:rsid w:val="00B76FDC"/>
    <w:rsid w:val="00B80775"/>
    <w:rsid w:val="00B81A91"/>
    <w:rsid w:val="00B877D4"/>
    <w:rsid w:val="00B942ED"/>
    <w:rsid w:val="00BC297D"/>
    <w:rsid w:val="00BC2DDB"/>
    <w:rsid w:val="00BD59E8"/>
    <w:rsid w:val="00BD7CDE"/>
    <w:rsid w:val="00BE436D"/>
    <w:rsid w:val="00BE7518"/>
    <w:rsid w:val="00C27F67"/>
    <w:rsid w:val="00C35D09"/>
    <w:rsid w:val="00C605E2"/>
    <w:rsid w:val="00C633AD"/>
    <w:rsid w:val="00C6430C"/>
    <w:rsid w:val="00C6616A"/>
    <w:rsid w:val="00C77787"/>
    <w:rsid w:val="00C808CC"/>
    <w:rsid w:val="00C91504"/>
    <w:rsid w:val="00CA42C5"/>
    <w:rsid w:val="00CB03F3"/>
    <w:rsid w:val="00CB5398"/>
    <w:rsid w:val="00CD2A8A"/>
    <w:rsid w:val="00CD3614"/>
    <w:rsid w:val="00CD622C"/>
    <w:rsid w:val="00CF1F1F"/>
    <w:rsid w:val="00D27474"/>
    <w:rsid w:val="00D331AF"/>
    <w:rsid w:val="00D35F40"/>
    <w:rsid w:val="00D432E9"/>
    <w:rsid w:val="00D45665"/>
    <w:rsid w:val="00D47A25"/>
    <w:rsid w:val="00D52E8C"/>
    <w:rsid w:val="00D85B60"/>
    <w:rsid w:val="00D959E8"/>
    <w:rsid w:val="00DA186E"/>
    <w:rsid w:val="00DB4DA3"/>
    <w:rsid w:val="00DC78A7"/>
    <w:rsid w:val="00E04898"/>
    <w:rsid w:val="00E12AE9"/>
    <w:rsid w:val="00E14619"/>
    <w:rsid w:val="00E15EBC"/>
    <w:rsid w:val="00E24DD8"/>
    <w:rsid w:val="00E50293"/>
    <w:rsid w:val="00E56588"/>
    <w:rsid w:val="00E72DB5"/>
    <w:rsid w:val="00E740D7"/>
    <w:rsid w:val="00EA0330"/>
    <w:rsid w:val="00EA2383"/>
    <w:rsid w:val="00EB24E6"/>
    <w:rsid w:val="00EB27FF"/>
    <w:rsid w:val="00ED08E2"/>
    <w:rsid w:val="00ED6239"/>
    <w:rsid w:val="00EE0CEB"/>
    <w:rsid w:val="00EE3B43"/>
    <w:rsid w:val="00F016B9"/>
    <w:rsid w:val="00F01C4B"/>
    <w:rsid w:val="00F05197"/>
    <w:rsid w:val="00F10CFB"/>
    <w:rsid w:val="00F125B6"/>
    <w:rsid w:val="00F17EF9"/>
    <w:rsid w:val="00F24AD6"/>
    <w:rsid w:val="00F54397"/>
    <w:rsid w:val="00F649FD"/>
    <w:rsid w:val="00F8319A"/>
    <w:rsid w:val="00F84C7D"/>
    <w:rsid w:val="00F8706B"/>
    <w:rsid w:val="00FA59E7"/>
    <w:rsid w:val="00FA6DEA"/>
    <w:rsid w:val="00FB06BD"/>
    <w:rsid w:val="00FB0ED1"/>
    <w:rsid w:val="00FB17BB"/>
    <w:rsid w:val="00FB4A06"/>
    <w:rsid w:val="00FC339D"/>
    <w:rsid w:val="00FD4E62"/>
    <w:rsid w:val="00FE335D"/>
    <w:rsid w:val="00FE6D5B"/>
    <w:rsid w:val="00FF0B15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AB50"/>
  <w15:chartTrackingRefBased/>
  <w15:docId w15:val="{3A480A14-E66F-48A4-A36C-E6AC2CFC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3F5A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C11D3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3F5A65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customStyle="1" w:styleId="Default">
    <w:name w:val="Default"/>
    <w:rsid w:val="00FB06BD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6A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6A5197"/>
    <w:rPr>
      <w:color w:val="0000FF"/>
      <w:u w:val="single"/>
    </w:rPr>
  </w:style>
  <w:style w:type="paragraph" w:styleId="Revisie">
    <w:name w:val="Revision"/>
    <w:hidden/>
    <w:uiPriority w:val="99"/>
    <w:semiHidden/>
    <w:rsid w:val="00DC78A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637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637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37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3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37ED"/>
    <w:rPr>
      <w:b/>
      <w:bCs/>
      <w:sz w:val="20"/>
      <w:szCs w:val="20"/>
    </w:rPr>
  </w:style>
  <w:style w:type="paragraph" w:customStyle="1" w:styleId="pf0">
    <w:name w:val="pf0"/>
    <w:basedOn w:val="Standaard"/>
    <w:rsid w:val="000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56542"/>
    <w:rPr>
      <w:rFonts w:ascii="Segoe UI" w:hAnsi="Segoe UI" w:cs="Segoe UI" w:hint="default"/>
      <w:sz w:val="18"/>
      <w:szCs w:val="18"/>
    </w:rPr>
  </w:style>
  <w:style w:type="character" w:customStyle="1" w:styleId="A19">
    <w:name w:val="A19"/>
    <w:uiPriority w:val="99"/>
    <w:rsid w:val="00E12AE9"/>
    <w:rPr>
      <w:rFonts w:cs="Bierstad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5444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5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0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8331">
          <w:marLeft w:val="72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hnpf.sharepoint.com/17%20Communicatie/Indexatie%202024/S-2023-2353a%20Generatie-effecten%20PKOPKC%20m.b.t.%20toeslag%201-1-24%20per%20geboorteja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/>
              <a:t>Verschil</a:t>
            </a:r>
            <a:r>
              <a:rPr lang="nl-NL" baseline="0"/>
              <a:t> pensioenresultaat per leeftijd </a:t>
            </a:r>
          </a:p>
          <a:p>
            <a:pPr>
              <a:defRPr/>
            </a:pPr>
            <a:r>
              <a:rPr lang="nl-NL" baseline="0"/>
              <a:t>met versoepelde indexatie t.o.v. reguliere </a:t>
            </a:r>
          </a:p>
          <a:p>
            <a:pPr>
              <a:defRPr/>
            </a:pPr>
            <a:r>
              <a:rPr lang="nl-NL" baseline="0"/>
              <a:t>indexatie</a:t>
            </a:r>
            <a:endParaRPr lang="nl-NL"/>
          </a:p>
        </c:rich>
      </c:tx>
      <c:layout>
        <c:manualLayout>
          <c:xMode val="edge"/>
          <c:yMode val="edge"/>
          <c:x val="0.16191666666666665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'https://hnpf.sharepoint.com/17 Communicatie/Indexatie 2024/[indexatie PKOPKC - leeftijdcohorten.xlsx]PKO'!$C$5:$C$85</c:f>
              <c:numCache>
                <c:formatCode>General</c:formatCode>
                <c:ptCount val="81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  <c:pt idx="27">
                  <c:v>48</c:v>
                </c:pt>
                <c:pt idx="28">
                  <c:v>49</c:v>
                </c:pt>
                <c:pt idx="29">
                  <c:v>50</c:v>
                </c:pt>
                <c:pt idx="30">
                  <c:v>51</c:v>
                </c:pt>
                <c:pt idx="31">
                  <c:v>52</c:v>
                </c:pt>
                <c:pt idx="32">
                  <c:v>53</c:v>
                </c:pt>
                <c:pt idx="33">
                  <c:v>54</c:v>
                </c:pt>
                <c:pt idx="34">
                  <c:v>55</c:v>
                </c:pt>
                <c:pt idx="35">
                  <c:v>56</c:v>
                </c:pt>
                <c:pt idx="36">
                  <c:v>57</c:v>
                </c:pt>
                <c:pt idx="37">
                  <c:v>58</c:v>
                </c:pt>
                <c:pt idx="38">
                  <c:v>59</c:v>
                </c:pt>
                <c:pt idx="39">
                  <c:v>60</c:v>
                </c:pt>
                <c:pt idx="40">
                  <c:v>61</c:v>
                </c:pt>
                <c:pt idx="41">
                  <c:v>62</c:v>
                </c:pt>
                <c:pt idx="42">
                  <c:v>63</c:v>
                </c:pt>
                <c:pt idx="43">
                  <c:v>64</c:v>
                </c:pt>
                <c:pt idx="44">
                  <c:v>65</c:v>
                </c:pt>
                <c:pt idx="45">
                  <c:v>66</c:v>
                </c:pt>
                <c:pt idx="46">
                  <c:v>67</c:v>
                </c:pt>
                <c:pt idx="47">
                  <c:v>68</c:v>
                </c:pt>
                <c:pt idx="48">
                  <c:v>69</c:v>
                </c:pt>
                <c:pt idx="49">
                  <c:v>70</c:v>
                </c:pt>
                <c:pt idx="50">
                  <c:v>71</c:v>
                </c:pt>
                <c:pt idx="51">
                  <c:v>72</c:v>
                </c:pt>
                <c:pt idx="52">
                  <c:v>73</c:v>
                </c:pt>
                <c:pt idx="53">
                  <c:v>74</c:v>
                </c:pt>
                <c:pt idx="54">
                  <c:v>75</c:v>
                </c:pt>
                <c:pt idx="55">
                  <c:v>76</c:v>
                </c:pt>
                <c:pt idx="56">
                  <c:v>77</c:v>
                </c:pt>
                <c:pt idx="57">
                  <c:v>78</c:v>
                </c:pt>
                <c:pt idx="58">
                  <c:v>79</c:v>
                </c:pt>
                <c:pt idx="59">
                  <c:v>80</c:v>
                </c:pt>
                <c:pt idx="60">
                  <c:v>81</c:v>
                </c:pt>
                <c:pt idx="61">
                  <c:v>82</c:v>
                </c:pt>
                <c:pt idx="62">
                  <c:v>83</c:v>
                </c:pt>
                <c:pt idx="63">
                  <c:v>84</c:v>
                </c:pt>
                <c:pt idx="64">
                  <c:v>85</c:v>
                </c:pt>
                <c:pt idx="65">
                  <c:v>86</c:v>
                </c:pt>
                <c:pt idx="66">
                  <c:v>87</c:v>
                </c:pt>
                <c:pt idx="67">
                  <c:v>88</c:v>
                </c:pt>
                <c:pt idx="68">
                  <c:v>89</c:v>
                </c:pt>
                <c:pt idx="69">
                  <c:v>90</c:v>
                </c:pt>
                <c:pt idx="70">
                  <c:v>91</c:v>
                </c:pt>
                <c:pt idx="71">
                  <c:v>92</c:v>
                </c:pt>
                <c:pt idx="72">
                  <c:v>93</c:v>
                </c:pt>
                <c:pt idx="73">
                  <c:v>94</c:v>
                </c:pt>
                <c:pt idx="74">
                  <c:v>95</c:v>
                </c:pt>
                <c:pt idx="75">
                  <c:v>96</c:v>
                </c:pt>
                <c:pt idx="76">
                  <c:v>97</c:v>
                </c:pt>
                <c:pt idx="77">
                  <c:v>98</c:v>
                </c:pt>
                <c:pt idx="78">
                  <c:v>99</c:v>
                </c:pt>
                <c:pt idx="79">
                  <c:v>100</c:v>
                </c:pt>
                <c:pt idx="80">
                  <c:v>101</c:v>
                </c:pt>
              </c:numCache>
            </c:numRef>
          </c:cat>
          <c:val>
            <c:numRef>
              <c:f>'https://hnpf.sharepoint.com/17 Communicatie/Indexatie 2024/[indexatie PKOPKC - leeftijdcohorten.xlsx]PKO'!$D$5:$D$85</c:f>
              <c:numCache>
                <c:formatCode>General</c:formatCode>
                <c:ptCount val="81"/>
                <c:pt idx="0">
                  <c:v>-9.9999999999988987E-4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-1.0000000000000009E-3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1.0000000000000009E-3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1.0000000000000009E-3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1.0000000000000009E-3</c:v>
                </c:pt>
                <c:pt idx="66">
                  <c:v>1.0000000000000009E-3</c:v>
                </c:pt>
                <c:pt idx="67">
                  <c:v>0</c:v>
                </c:pt>
                <c:pt idx="68">
                  <c:v>1.0000000000000009E-3</c:v>
                </c:pt>
                <c:pt idx="69">
                  <c:v>0</c:v>
                </c:pt>
                <c:pt idx="70">
                  <c:v>1.0000000000000009E-3</c:v>
                </c:pt>
                <c:pt idx="71">
                  <c:v>1.0000000000000009E-3</c:v>
                </c:pt>
                <c:pt idx="72">
                  <c:v>0</c:v>
                </c:pt>
                <c:pt idx="73">
                  <c:v>1.0000000000000009E-3</c:v>
                </c:pt>
                <c:pt idx="74">
                  <c:v>1.0000000000000009E-3</c:v>
                </c:pt>
                <c:pt idx="75">
                  <c:v>0</c:v>
                </c:pt>
                <c:pt idx="76">
                  <c:v>1.0000000000000009E-3</c:v>
                </c:pt>
                <c:pt idx="77">
                  <c:v>1.0000000000000009E-3</c:v>
                </c:pt>
                <c:pt idx="78">
                  <c:v>1.0000000000000009E-3</c:v>
                </c:pt>
                <c:pt idx="79">
                  <c:v>1.0000000000000009E-3</c:v>
                </c:pt>
                <c:pt idx="8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B4-40E3-A5F3-8A7135E889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7455304"/>
        <c:axId val="307455960"/>
      </c:lineChart>
      <c:catAx>
        <c:axId val="307455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7455960"/>
        <c:crosses val="autoZero"/>
        <c:auto val="1"/>
        <c:lblAlgn val="ctr"/>
        <c:lblOffset val="100"/>
        <c:noMultiLvlLbl val="0"/>
      </c:catAx>
      <c:valAx>
        <c:axId val="307455960"/>
        <c:scaling>
          <c:orientation val="minMax"/>
          <c:max val="1.0000000000000002E-2"/>
          <c:min val="-1.000000000000000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307455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AC911A2A30443BE2DAA8AC33F39B4" ma:contentTypeVersion="16" ma:contentTypeDescription="Een nieuw document maken." ma:contentTypeScope="" ma:versionID="7d5c71fa56294fb5c20a41ee06ed8c75">
  <xsd:schema xmlns:xsd="http://www.w3.org/2001/XMLSchema" xmlns:xs="http://www.w3.org/2001/XMLSchema" xmlns:p="http://schemas.microsoft.com/office/2006/metadata/properties" xmlns:ns2="42158a9b-6931-424f-8f76-fe3bda10462a" xmlns:ns3="c2054fe3-5b75-43d4-b17b-d0090b321c02" targetNamespace="http://schemas.microsoft.com/office/2006/metadata/properties" ma:root="true" ma:fieldsID="9fbd75d1f02c99991cbaf4ef191bf90a" ns2:_="" ns3:_="">
    <xsd:import namespace="42158a9b-6931-424f-8f76-fe3bda10462a"/>
    <xsd:import namespace="c2054fe3-5b75-43d4-b17b-d0090b321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58a9b-6931-424f-8f76-fe3bda104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77e6136-016d-4b6a-8f45-3dc3192876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fe3-5b75-43d4-b17b-d0090b321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4bbf871-0966-437c-9390-77922d4a19a9}" ma:internalName="TaxCatchAll" ma:showField="CatchAllData" ma:web="c2054fe3-5b75-43d4-b17b-d0090b321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D2968-1481-4762-8847-65A44F570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41969E-875F-4D63-A7C5-9C2353F0B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CB803-67C4-4251-9557-41CDB59C4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58a9b-6931-424f-8f76-fe3bda10462a"/>
    <ds:schemaRef ds:uri="c2054fe3-5b75-43d4-b17b-d0090b321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667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Kroonenburg</dc:creator>
  <cp:keywords/>
  <dc:description/>
  <cp:lastModifiedBy>Marjolein van Kroonenburg</cp:lastModifiedBy>
  <cp:revision>33</cp:revision>
  <cp:lastPrinted>2022-10-18T08:50:00Z</cp:lastPrinted>
  <dcterms:created xsi:type="dcterms:W3CDTF">2023-12-12T07:47:00Z</dcterms:created>
  <dcterms:modified xsi:type="dcterms:W3CDTF">2023-12-19T11:49:00Z</dcterms:modified>
</cp:coreProperties>
</file>